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47" w:rsidRDefault="00A6665D" w:rsidP="00102B47">
      <w:pPr>
        <w:tabs>
          <w:tab w:val="left" w:pos="3544"/>
        </w:tabs>
        <w:ind w:right="568"/>
        <w:rPr>
          <w:rFonts w:asciiTheme="minorHAnsi" w:hAnsiTheme="minorHAnsi" w:cs="Arial"/>
          <w:b/>
          <w:sz w:val="22"/>
          <w:szCs w:val="22"/>
        </w:rPr>
      </w:pPr>
      <w:proofErr w:type="spellStart"/>
      <w:r>
        <w:rPr>
          <w:rFonts w:asciiTheme="minorHAnsi" w:hAnsiTheme="minorHAnsi" w:cs="Arial"/>
          <w:b/>
          <w:sz w:val="22"/>
          <w:szCs w:val="22"/>
        </w:rPr>
        <w:t>energieinfo</w:t>
      </w:r>
      <w:proofErr w:type="spellEnd"/>
      <w:r>
        <w:rPr>
          <w:rFonts w:asciiTheme="minorHAnsi" w:hAnsiTheme="minorHAnsi" w:cs="Arial"/>
          <w:b/>
          <w:sz w:val="22"/>
          <w:szCs w:val="22"/>
        </w:rPr>
        <w:t>!</w:t>
      </w:r>
    </w:p>
    <w:p w:rsidR="00A6665D" w:rsidRPr="00102B47" w:rsidRDefault="00A6665D" w:rsidP="00102B47">
      <w:pPr>
        <w:tabs>
          <w:tab w:val="left" w:pos="3544"/>
        </w:tabs>
        <w:ind w:right="568"/>
        <w:rPr>
          <w:rFonts w:asciiTheme="minorHAnsi" w:hAnsiTheme="minorHAnsi" w:cs="Arial"/>
          <w:b/>
          <w:sz w:val="22"/>
          <w:szCs w:val="22"/>
        </w:rPr>
      </w:pPr>
    </w:p>
    <w:p w:rsidR="00102B47" w:rsidRPr="00102B47" w:rsidRDefault="00102B47" w:rsidP="00102B47">
      <w:pPr>
        <w:tabs>
          <w:tab w:val="left" w:pos="3544"/>
          <w:tab w:val="left" w:pos="7655"/>
        </w:tabs>
        <w:ind w:right="568"/>
        <w:rPr>
          <w:rFonts w:asciiTheme="minorHAnsi" w:hAnsiTheme="minorHAnsi" w:cs="Arial"/>
          <w:b/>
          <w:sz w:val="36"/>
          <w:szCs w:val="36"/>
        </w:rPr>
      </w:pPr>
      <w:r w:rsidRPr="00102B47">
        <w:rPr>
          <w:rFonts w:asciiTheme="minorHAnsi" w:hAnsiTheme="minorHAnsi" w:cs="Arial"/>
          <w:b/>
          <w:sz w:val="36"/>
          <w:szCs w:val="36"/>
        </w:rPr>
        <w:t>So setzt sich der Strompreis zusammen</w:t>
      </w:r>
    </w:p>
    <w:p w:rsidR="00102B47" w:rsidRPr="00102B47" w:rsidRDefault="00102B47" w:rsidP="00102B47">
      <w:pPr>
        <w:tabs>
          <w:tab w:val="left" w:pos="3544"/>
          <w:tab w:val="left" w:pos="5954"/>
          <w:tab w:val="left" w:pos="7655"/>
        </w:tabs>
        <w:ind w:right="568"/>
        <w:rPr>
          <w:rFonts w:asciiTheme="minorHAnsi" w:hAnsiTheme="minorHAnsi" w:cs="Arial"/>
          <w:b/>
          <w:sz w:val="22"/>
          <w:szCs w:val="22"/>
        </w:rPr>
      </w:pPr>
      <w:r w:rsidRPr="00102B47">
        <w:rPr>
          <w:rFonts w:asciiTheme="minorHAnsi" w:hAnsiTheme="minorHAnsi" w:cs="Arial"/>
          <w:b/>
          <w:sz w:val="22"/>
          <w:szCs w:val="22"/>
        </w:rPr>
        <w:t>Mehr als 50 Prozent sind staatliche Anteile</w:t>
      </w:r>
    </w:p>
    <w:p w:rsidR="00102B47" w:rsidRPr="00102B47" w:rsidRDefault="00102B47" w:rsidP="00102B47">
      <w:pPr>
        <w:tabs>
          <w:tab w:val="left" w:pos="3544"/>
          <w:tab w:val="left" w:pos="5954"/>
          <w:tab w:val="left" w:pos="7655"/>
        </w:tabs>
        <w:ind w:right="568"/>
        <w:jc w:val="both"/>
        <w:rPr>
          <w:rFonts w:asciiTheme="minorHAnsi" w:hAnsiTheme="minorHAnsi" w:cs="Arial"/>
          <w:b/>
          <w:sz w:val="22"/>
          <w:szCs w:val="22"/>
        </w:rPr>
      </w:pPr>
    </w:p>
    <w:p w:rsidR="00102B47" w:rsidRPr="00102B47" w:rsidRDefault="00102B47" w:rsidP="00102B47">
      <w:pPr>
        <w:autoSpaceDE w:val="0"/>
        <w:autoSpaceDN w:val="0"/>
        <w:adjustRightInd w:val="0"/>
        <w:jc w:val="both"/>
        <w:rPr>
          <w:rFonts w:asciiTheme="minorHAnsi" w:hAnsiTheme="minorHAnsi" w:cs="Arial"/>
          <w:b/>
          <w:sz w:val="22"/>
          <w:szCs w:val="22"/>
        </w:rPr>
      </w:pPr>
      <w:r w:rsidRPr="00102B47">
        <w:rPr>
          <w:rFonts w:asciiTheme="minorHAnsi" w:hAnsiTheme="minorHAnsi" w:cs="Arial"/>
          <w:b/>
          <w:sz w:val="22"/>
          <w:szCs w:val="22"/>
        </w:rPr>
        <w:t xml:space="preserve">Obwohl die Strompreise an der Börse sinken, steigen die Preise für die Verbraucher. </w:t>
      </w:r>
      <w:r w:rsidR="00B314B9">
        <w:rPr>
          <w:rFonts w:asciiTheme="minorHAnsi" w:hAnsiTheme="minorHAnsi" w:cs="Arial"/>
          <w:b/>
          <w:sz w:val="22"/>
          <w:szCs w:val="22"/>
        </w:rPr>
        <w:t xml:space="preserve">Ein wichtiger </w:t>
      </w:r>
      <w:r w:rsidRPr="00102B47">
        <w:rPr>
          <w:rFonts w:asciiTheme="minorHAnsi" w:hAnsiTheme="minorHAnsi" w:cs="Arial"/>
          <w:b/>
          <w:sz w:val="22"/>
          <w:szCs w:val="22"/>
        </w:rPr>
        <w:t>Grund: Abgaben und Steuern, die für die Finanzierung der Energiewende benötigt werden</w:t>
      </w:r>
      <w:r w:rsidR="00B314B9">
        <w:rPr>
          <w:rFonts w:asciiTheme="minorHAnsi" w:hAnsiTheme="minorHAnsi" w:cs="Arial"/>
          <w:b/>
          <w:sz w:val="22"/>
          <w:szCs w:val="22"/>
        </w:rPr>
        <w:t>,</w:t>
      </w:r>
      <w:r w:rsidR="00D00C22">
        <w:rPr>
          <w:rFonts w:asciiTheme="minorHAnsi" w:hAnsiTheme="minorHAnsi" w:cs="Arial"/>
          <w:b/>
          <w:sz w:val="22"/>
          <w:szCs w:val="22"/>
        </w:rPr>
        <w:t xml:space="preserve"> werden erhöht</w:t>
      </w:r>
      <w:r w:rsidRPr="00102B47">
        <w:rPr>
          <w:rFonts w:asciiTheme="minorHAnsi" w:hAnsiTheme="minorHAnsi" w:cs="Arial"/>
          <w:b/>
          <w:sz w:val="22"/>
          <w:szCs w:val="22"/>
        </w:rPr>
        <w:t xml:space="preserve">. Es geht voran in Sachen Klimaschutz in Deutschland – und das ist auch gut so, doch es steht außer Frage: Die Energiewende kostet Geld. </w:t>
      </w:r>
    </w:p>
    <w:p w:rsidR="00102B47" w:rsidRPr="00102B47" w:rsidRDefault="00102B47" w:rsidP="00102B47">
      <w:pPr>
        <w:autoSpaceDE w:val="0"/>
        <w:autoSpaceDN w:val="0"/>
        <w:adjustRightInd w:val="0"/>
        <w:ind w:right="568"/>
        <w:jc w:val="both"/>
        <w:rPr>
          <w:rFonts w:asciiTheme="minorHAnsi" w:hAnsiTheme="minorHAnsi" w:cs="Arial"/>
          <w:b/>
          <w:sz w:val="22"/>
          <w:szCs w:val="22"/>
        </w:rPr>
      </w:pPr>
    </w:p>
    <w:p w:rsidR="00102B47" w:rsidRDefault="00102B47" w:rsidP="00102B47">
      <w:pPr>
        <w:autoSpaceDE w:val="0"/>
        <w:autoSpaceDN w:val="0"/>
        <w:adjustRightInd w:val="0"/>
        <w:ind w:right="-141"/>
        <w:jc w:val="both"/>
        <w:rPr>
          <w:rFonts w:asciiTheme="minorHAnsi" w:hAnsiTheme="minorHAnsi" w:cs="Arial"/>
          <w:sz w:val="22"/>
          <w:szCs w:val="22"/>
        </w:rPr>
      </w:pPr>
      <w:r w:rsidRPr="00102B47">
        <w:rPr>
          <w:rFonts w:asciiTheme="minorHAnsi" w:hAnsiTheme="minorHAnsi" w:cs="Arial"/>
          <w:sz w:val="22"/>
          <w:szCs w:val="22"/>
        </w:rPr>
        <w:t xml:space="preserve">Die Zahl dezentraler Anlagen für Erneuerbare Energien steigt. Immer mehr Erzeugungsanlagen werden an das Stromnetz angeschlossen. Deshalb müssen zum Beispiel die Übertragungsnetze aus- und umgebaut werden, um </w:t>
      </w:r>
      <w:proofErr w:type="gramStart"/>
      <w:r w:rsidRPr="00102B47">
        <w:rPr>
          <w:rFonts w:asciiTheme="minorHAnsi" w:hAnsiTheme="minorHAnsi" w:cs="Arial"/>
          <w:sz w:val="22"/>
          <w:szCs w:val="22"/>
        </w:rPr>
        <w:t>den</w:t>
      </w:r>
      <w:proofErr w:type="gramEnd"/>
      <w:r w:rsidRPr="00102B47">
        <w:rPr>
          <w:rFonts w:asciiTheme="minorHAnsi" w:hAnsiTheme="minorHAnsi" w:cs="Arial"/>
          <w:sz w:val="22"/>
          <w:szCs w:val="22"/>
        </w:rPr>
        <w:t xml:space="preserve"> veränderten Anforderungen gerecht zu werden. Die damit verbundenen Kosten werden über staatliche Abgaben und Netzentgelte auf den Strompreis umgelegt.</w:t>
      </w:r>
    </w:p>
    <w:p w:rsidR="00B314B9" w:rsidRDefault="00B314B9" w:rsidP="00B314B9">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r w:rsidRPr="002C637F">
        <w:rPr>
          <w:rFonts w:asciiTheme="minorHAnsi" w:eastAsiaTheme="minorHAnsi" w:hAnsiTheme="minorHAnsi" w:cs="Myriad-Roman"/>
          <w:color w:val="000000" w:themeColor="text1"/>
          <w:sz w:val="22"/>
          <w:szCs w:val="22"/>
          <w:lang w:eastAsia="en-US"/>
        </w:rPr>
        <w:t xml:space="preserve">Die Entwicklung </w:t>
      </w:r>
      <w:r>
        <w:rPr>
          <w:rFonts w:asciiTheme="minorHAnsi" w:eastAsiaTheme="minorHAnsi" w:hAnsiTheme="minorHAnsi" w:cs="Myriad-Roman"/>
          <w:color w:val="000000" w:themeColor="text1"/>
          <w:sz w:val="22"/>
          <w:szCs w:val="22"/>
          <w:lang w:eastAsia="en-US"/>
        </w:rPr>
        <w:t>staatlicher</w:t>
      </w:r>
      <w:r w:rsidRPr="002C637F">
        <w:rPr>
          <w:rFonts w:asciiTheme="minorHAnsi" w:eastAsiaTheme="minorHAnsi" w:hAnsiTheme="minorHAnsi" w:cs="Myriad-Roman"/>
          <w:color w:val="000000" w:themeColor="text1"/>
          <w:sz w:val="22"/>
          <w:szCs w:val="22"/>
          <w:lang w:eastAsia="en-US"/>
        </w:rPr>
        <w:t xml:space="preserve"> Abgaben können die Energieversorger nicht beeinflussen. „Was viele nicht wissen: Der Preisbestandteil ‚Steuern, Abgaben und Umlagen’ macht inzwischen mehr als die Hälfte des Strompreises aus“, betont EVA-Geschäftsführer Rolf Freudenberger.</w:t>
      </w:r>
    </w:p>
    <w:p w:rsidR="00102B47" w:rsidRPr="00102B47" w:rsidRDefault="00102B47" w:rsidP="00102B47">
      <w:pPr>
        <w:autoSpaceDE w:val="0"/>
        <w:autoSpaceDN w:val="0"/>
        <w:adjustRightInd w:val="0"/>
        <w:ind w:right="-141"/>
        <w:jc w:val="both"/>
        <w:rPr>
          <w:rFonts w:asciiTheme="minorHAnsi" w:hAnsiTheme="minorHAnsi" w:cs="Arial"/>
          <w:sz w:val="22"/>
          <w:szCs w:val="22"/>
        </w:rPr>
      </w:pPr>
    </w:p>
    <w:p w:rsidR="00102B47" w:rsidRPr="00102B47" w:rsidRDefault="00102B47" w:rsidP="00102B47">
      <w:pPr>
        <w:autoSpaceDE w:val="0"/>
        <w:autoSpaceDN w:val="0"/>
        <w:adjustRightInd w:val="0"/>
        <w:ind w:right="-141"/>
        <w:jc w:val="both"/>
        <w:rPr>
          <w:rFonts w:asciiTheme="minorHAnsi" w:eastAsiaTheme="minorHAnsi" w:hAnsiTheme="minorHAnsi" w:cs="Myriad-Bold"/>
          <w:bCs/>
          <w:color w:val="000000"/>
          <w:sz w:val="22"/>
          <w:szCs w:val="22"/>
          <w:lang w:eastAsia="en-US"/>
        </w:rPr>
      </w:pPr>
      <w:r w:rsidRPr="00102B47">
        <w:rPr>
          <w:rFonts w:asciiTheme="minorHAnsi" w:eastAsiaTheme="minorHAnsi" w:hAnsiTheme="minorHAnsi" w:cs="Myriad-Bold"/>
          <w:bCs/>
          <w:color w:val="000000"/>
          <w:sz w:val="22"/>
          <w:szCs w:val="22"/>
          <w:lang w:eastAsia="en-US"/>
        </w:rPr>
        <w:t>Konsequenz: Die auf Grundlage gesetzlicher Vorgaben ermittelte EEG-Umlage stieg zum 1. Januar 2017 von 6,354 Cent pro Kilowattstunde Strom auf 6,88 Cent. Das entspricht einem Anstieg um mehr als acht Prozent. Auch bei den Netzentgelten wird es zu steigenden Kosten kommen.</w:t>
      </w:r>
    </w:p>
    <w:p w:rsidR="00102B47" w:rsidRPr="00102B47" w:rsidRDefault="00102B47" w:rsidP="00102B47">
      <w:pPr>
        <w:autoSpaceDE w:val="0"/>
        <w:autoSpaceDN w:val="0"/>
        <w:adjustRightInd w:val="0"/>
        <w:ind w:right="-141"/>
        <w:rPr>
          <w:rFonts w:asciiTheme="minorHAnsi" w:eastAsiaTheme="minorHAnsi" w:hAnsiTheme="minorHAnsi" w:cs="Myriad-Bold"/>
          <w:b/>
          <w:bCs/>
          <w:color w:val="000000"/>
          <w:sz w:val="22"/>
          <w:szCs w:val="22"/>
          <w:lang w:eastAsia="en-US"/>
        </w:rPr>
      </w:pPr>
    </w:p>
    <w:p w:rsidR="00102B47" w:rsidRPr="00102B47" w:rsidRDefault="00102B47" w:rsidP="00102B47">
      <w:pPr>
        <w:autoSpaceDE w:val="0"/>
        <w:autoSpaceDN w:val="0"/>
        <w:adjustRightInd w:val="0"/>
        <w:ind w:right="-141"/>
        <w:jc w:val="both"/>
        <w:rPr>
          <w:rFonts w:asciiTheme="minorHAnsi" w:eastAsiaTheme="minorHAnsi" w:hAnsiTheme="minorHAnsi" w:cs="Myriad-Roman"/>
          <w:color w:val="000000"/>
          <w:sz w:val="22"/>
          <w:szCs w:val="22"/>
          <w:lang w:eastAsia="en-US"/>
        </w:rPr>
      </w:pPr>
      <w:r w:rsidRPr="00102B47">
        <w:rPr>
          <w:rFonts w:asciiTheme="minorHAnsi" w:eastAsiaTheme="minorHAnsi" w:hAnsiTheme="minorHAnsi" w:cs="Myriad-Roman"/>
          <w:color w:val="000000"/>
          <w:sz w:val="22"/>
          <w:szCs w:val="22"/>
          <w:lang w:eastAsia="en-US"/>
        </w:rPr>
        <w:t>Die Energieversorger selbst profitieren von dieser Umlage nicht, sondern reichen sie lediglich an den Kunden weiter.</w:t>
      </w:r>
    </w:p>
    <w:p w:rsidR="00102B47" w:rsidRPr="00102B47" w:rsidRDefault="00102B47" w:rsidP="00102B47">
      <w:pPr>
        <w:autoSpaceDE w:val="0"/>
        <w:autoSpaceDN w:val="0"/>
        <w:adjustRightInd w:val="0"/>
        <w:ind w:right="-141"/>
        <w:jc w:val="both"/>
        <w:rPr>
          <w:rFonts w:asciiTheme="minorHAnsi" w:eastAsiaTheme="minorHAnsi" w:hAnsiTheme="minorHAnsi" w:cs="Myriad-Roman"/>
          <w:color w:val="000000"/>
          <w:sz w:val="22"/>
          <w:szCs w:val="22"/>
          <w:lang w:eastAsia="en-US"/>
        </w:rPr>
      </w:pPr>
    </w:p>
    <w:p w:rsidR="00102B47" w:rsidRPr="00102B47" w:rsidRDefault="00102B47" w:rsidP="00102B47">
      <w:pPr>
        <w:autoSpaceDE w:val="0"/>
        <w:autoSpaceDN w:val="0"/>
        <w:adjustRightInd w:val="0"/>
        <w:ind w:right="-141"/>
        <w:jc w:val="both"/>
        <w:rPr>
          <w:rFonts w:asciiTheme="minorHAnsi" w:eastAsiaTheme="minorHAnsi" w:hAnsiTheme="minorHAnsi" w:cs="Myriad-Bold"/>
          <w:b/>
          <w:bCs/>
          <w:color w:val="000000"/>
          <w:sz w:val="22"/>
          <w:szCs w:val="22"/>
          <w:lang w:eastAsia="en-US"/>
        </w:rPr>
      </w:pPr>
      <w:r w:rsidRPr="00102B47">
        <w:rPr>
          <w:rFonts w:asciiTheme="minorHAnsi" w:eastAsiaTheme="minorHAnsi" w:hAnsiTheme="minorHAnsi" w:cs="Myriad-Bold"/>
          <w:b/>
          <w:bCs/>
          <w:color w:val="000000"/>
          <w:sz w:val="22"/>
          <w:szCs w:val="22"/>
          <w:lang w:eastAsia="en-US"/>
        </w:rPr>
        <w:t>Grundsätzlich setzt sich der Strompreis aus drei Hauptbestandteilen zusammen.</w:t>
      </w:r>
    </w:p>
    <w:p w:rsidR="00102B47" w:rsidRPr="002C637F" w:rsidRDefault="00102B47" w:rsidP="00102B47">
      <w:pPr>
        <w:autoSpaceDE w:val="0"/>
        <w:autoSpaceDN w:val="0"/>
        <w:adjustRightInd w:val="0"/>
        <w:ind w:right="-141"/>
        <w:jc w:val="both"/>
        <w:rPr>
          <w:rFonts w:asciiTheme="minorHAnsi" w:eastAsiaTheme="minorHAnsi" w:hAnsiTheme="minorHAnsi" w:cs="Myriad-Bold"/>
          <w:b/>
          <w:bCs/>
          <w:color w:val="000000" w:themeColor="text1"/>
          <w:sz w:val="22"/>
          <w:szCs w:val="22"/>
          <w:lang w:eastAsia="en-US"/>
        </w:rPr>
      </w:pPr>
    </w:p>
    <w:p w:rsidR="00102B47" w:rsidRPr="002C637F" w:rsidRDefault="00102B47" w:rsidP="00102B47">
      <w:pPr>
        <w:autoSpaceDE w:val="0"/>
        <w:autoSpaceDN w:val="0"/>
        <w:adjustRightInd w:val="0"/>
        <w:ind w:right="-141"/>
        <w:jc w:val="both"/>
        <w:rPr>
          <w:rFonts w:asciiTheme="minorHAnsi" w:eastAsiaTheme="minorHAnsi" w:hAnsiTheme="minorHAnsi" w:cs="Myriad-Bold"/>
          <w:b/>
          <w:bCs/>
          <w:color w:val="000000" w:themeColor="text1"/>
          <w:sz w:val="22"/>
          <w:szCs w:val="22"/>
          <w:lang w:eastAsia="en-US"/>
        </w:rPr>
      </w:pPr>
      <w:r w:rsidRPr="002C637F">
        <w:rPr>
          <w:rFonts w:asciiTheme="minorHAnsi" w:eastAsiaTheme="minorHAnsi" w:hAnsiTheme="minorHAnsi" w:cs="Myriad-Bold"/>
          <w:b/>
          <w:bCs/>
          <w:color w:val="000000" w:themeColor="text1"/>
          <w:sz w:val="22"/>
          <w:szCs w:val="22"/>
          <w:lang w:eastAsia="en-US"/>
        </w:rPr>
        <w:t>1. Steuern, Abgaben und Umlagen</w:t>
      </w:r>
    </w:p>
    <w:p w:rsidR="00102B47" w:rsidRPr="002C637F" w:rsidRDefault="00102B47"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r w:rsidRPr="002C637F">
        <w:rPr>
          <w:rFonts w:asciiTheme="minorHAnsi" w:eastAsiaTheme="minorHAnsi" w:hAnsiTheme="minorHAnsi" w:cs="Myriad-Roman"/>
          <w:color w:val="000000" w:themeColor="text1"/>
          <w:sz w:val="22"/>
          <w:szCs w:val="22"/>
          <w:lang w:eastAsia="en-US"/>
        </w:rPr>
        <w:t>Die staatlich veranlassten Preisbestandteile sind 2016 bereits deutlich gestiegen.</w:t>
      </w:r>
      <w:r w:rsidR="002C637F" w:rsidRPr="002C637F">
        <w:rPr>
          <w:rFonts w:asciiTheme="minorHAnsi" w:eastAsiaTheme="minorHAnsi" w:hAnsiTheme="minorHAnsi" w:cs="Myriad-Roman"/>
          <w:color w:val="000000" w:themeColor="text1"/>
          <w:sz w:val="22"/>
          <w:szCs w:val="22"/>
          <w:lang w:eastAsia="en-US"/>
        </w:rPr>
        <w:t xml:space="preserve"> Mittlerweile machen sie über die Hälfte des Strompreises aus.</w:t>
      </w:r>
    </w:p>
    <w:p w:rsidR="002C637F" w:rsidRPr="002C637F" w:rsidRDefault="002C637F"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p>
    <w:p w:rsidR="00102B47" w:rsidRPr="002C637F" w:rsidRDefault="00102B47" w:rsidP="00102B47">
      <w:pPr>
        <w:autoSpaceDE w:val="0"/>
        <w:autoSpaceDN w:val="0"/>
        <w:adjustRightInd w:val="0"/>
        <w:ind w:right="-141"/>
        <w:jc w:val="both"/>
        <w:rPr>
          <w:rFonts w:asciiTheme="minorHAnsi" w:eastAsiaTheme="minorHAnsi" w:hAnsiTheme="minorHAnsi" w:cs="Myriad-Bold"/>
          <w:b/>
          <w:bCs/>
          <w:color w:val="000000" w:themeColor="text1"/>
          <w:sz w:val="22"/>
          <w:szCs w:val="22"/>
          <w:lang w:eastAsia="en-US"/>
        </w:rPr>
      </w:pPr>
      <w:r w:rsidRPr="002C637F">
        <w:rPr>
          <w:rFonts w:asciiTheme="minorHAnsi" w:eastAsiaTheme="minorHAnsi" w:hAnsiTheme="minorHAnsi" w:cs="Myriad-Bold"/>
          <w:b/>
          <w:bCs/>
          <w:color w:val="000000" w:themeColor="text1"/>
          <w:sz w:val="22"/>
          <w:szCs w:val="22"/>
          <w:lang w:eastAsia="en-US"/>
        </w:rPr>
        <w:t>2. Die regulierten Netzentgelte</w:t>
      </w:r>
    </w:p>
    <w:p w:rsidR="00102B47" w:rsidRPr="002C637F" w:rsidRDefault="00102B47"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r w:rsidRPr="002C637F">
        <w:rPr>
          <w:rFonts w:asciiTheme="minorHAnsi" w:eastAsiaTheme="minorHAnsi" w:hAnsiTheme="minorHAnsi" w:cs="Myriad-Roman"/>
          <w:color w:val="000000" w:themeColor="text1"/>
          <w:sz w:val="22"/>
          <w:szCs w:val="22"/>
          <w:lang w:eastAsia="en-US"/>
        </w:rPr>
        <w:t xml:space="preserve">Die Kosten für die Netzinfrastruktur werden über die Netzentgelte auf die Netznutzer und damit die Letztverbraucher im jeweiligen Versorgungsgebiet verteilt und variieren je nach Versorgungsgebiet. Durch den Ausbau Erneuerbarer Energien besteht im Hinblick auf den Netzausbau erheblicher Investitionsbedarf bei den Übertragungs- und Verteilnetzen. Neue regenerative Anlagen müssen ans Netz </w:t>
      </w:r>
      <w:r w:rsidRPr="002C637F">
        <w:rPr>
          <w:rFonts w:asciiTheme="minorHAnsi" w:eastAsiaTheme="minorHAnsi" w:hAnsiTheme="minorHAnsi" w:cs="Myriad-Roman"/>
          <w:color w:val="000000" w:themeColor="text1"/>
          <w:sz w:val="22"/>
          <w:szCs w:val="22"/>
          <w:lang w:eastAsia="en-US"/>
        </w:rPr>
        <w:lastRenderedPageBreak/>
        <w:t>angeschlossen werden und technisch integriert werden. D</w:t>
      </w:r>
      <w:r w:rsidR="00354CFE">
        <w:rPr>
          <w:rFonts w:asciiTheme="minorHAnsi" w:eastAsiaTheme="minorHAnsi" w:hAnsiTheme="minorHAnsi" w:cs="Myriad-Roman"/>
          <w:color w:val="000000" w:themeColor="text1"/>
          <w:sz w:val="22"/>
          <w:szCs w:val="22"/>
          <w:lang w:eastAsia="en-US"/>
        </w:rPr>
        <w:t xml:space="preserve">er Anteil der Netzentgelte </w:t>
      </w:r>
      <w:r w:rsidRPr="002C637F">
        <w:rPr>
          <w:rFonts w:asciiTheme="minorHAnsi" w:eastAsiaTheme="minorHAnsi" w:hAnsiTheme="minorHAnsi" w:cs="Myriad-Roman"/>
          <w:color w:val="000000" w:themeColor="text1"/>
          <w:sz w:val="22"/>
          <w:szCs w:val="22"/>
          <w:lang w:eastAsia="en-US"/>
        </w:rPr>
        <w:t>am Strompreis liegt im Durchschnitt bei rund 22 Prozent.</w:t>
      </w:r>
    </w:p>
    <w:p w:rsidR="00102B47" w:rsidRPr="002C637F" w:rsidRDefault="00102B47"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p>
    <w:p w:rsidR="00102B47" w:rsidRPr="002C637F" w:rsidRDefault="00102B47" w:rsidP="00102B47">
      <w:pPr>
        <w:autoSpaceDE w:val="0"/>
        <w:autoSpaceDN w:val="0"/>
        <w:adjustRightInd w:val="0"/>
        <w:ind w:right="-141"/>
        <w:jc w:val="both"/>
        <w:rPr>
          <w:rFonts w:asciiTheme="minorHAnsi" w:eastAsiaTheme="minorHAnsi" w:hAnsiTheme="minorHAnsi" w:cs="Myriad-Bold"/>
          <w:b/>
          <w:bCs/>
          <w:color w:val="000000" w:themeColor="text1"/>
          <w:sz w:val="22"/>
          <w:szCs w:val="22"/>
          <w:lang w:eastAsia="en-US"/>
        </w:rPr>
      </w:pPr>
      <w:r w:rsidRPr="002C637F">
        <w:rPr>
          <w:rFonts w:asciiTheme="minorHAnsi" w:eastAsiaTheme="minorHAnsi" w:hAnsiTheme="minorHAnsi" w:cs="Myriad-Bold"/>
          <w:b/>
          <w:bCs/>
          <w:color w:val="000000" w:themeColor="text1"/>
          <w:sz w:val="22"/>
          <w:szCs w:val="22"/>
          <w:lang w:eastAsia="en-US"/>
        </w:rPr>
        <w:t>3. Die Kosten für Erzeugung, Beschaffung, Vertrieb sowie Service und Dienstleistungen</w:t>
      </w:r>
    </w:p>
    <w:p w:rsidR="00102B47" w:rsidRPr="002C637F" w:rsidRDefault="00102B47"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r w:rsidRPr="002C637F">
        <w:rPr>
          <w:rFonts w:asciiTheme="minorHAnsi" w:eastAsiaTheme="minorHAnsi" w:hAnsiTheme="minorHAnsi" w:cs="Myriad-Roman"/>
          <w:color w:val="000000" w:themeColor="text1"/>
          <w:sz w:val="22"/>
          <w:szCs w:val="22"/>
          <w:lang w:eastAsia="en-US"/>
        </w:rPr>
        <w:t xml:space="preserve">Nur dieser </w:t>
      </w:r>
      <w:r w:rsidR="00354CFE">
        <w:rPr>
          <w:rFonts w:asciiTheme="minorHAnsi" w:eastAsiaTheme="minorHAnsi" w:hAnsiTheme="minorHAnsi" w:cs="Myriad-Roman"/>
          <w:color w:val="000000" w:themeColor="text1"/>
          <w:sz w:val="22"/>
          <w:szCs w:val="22"/>
          <w:lang w:eastAsia="en-US"/>
        </w:rPr>
        <w:t>Block</w:t>
      </w:r>
      <w:r w:rsidRPr="002C637F">
        <w:rPr>
          <w:rFonts w:asciiTheme="minorHAnsi" w:eastAsiaTheme="minorHAnsi" w:hAnsiTheme="minorHAnsi" w:cs="Myriad-Roman"/>
          <w:color w:val="000000" w:themeColor="text1"/>
          <w:sz w:val="22"/>
          <w:szCs w:val="22"/>
          <w:lang w:eastAsia="en-US"/>
        </w:rPr>
        <w:t xml:space="preserve"> kann vom jeweiligen Energieversorger beeinflusst werden. Der durchschnittliche Anteil am Strompreis für Haushaltskunden liegt bei rund 26 Prozent. </w:t>
      </w:r>
    </w:p>
    <w:p w:rsidR="002D6868" w:rsidRDefault="002D6868"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p>
    <w:p w:rsidR="00D00C22" w:rsidRPr="00D00C22" w:rsidRDefault="00D00C22" w:rsidP="00102B47">
      <w:pPr>
        <w:autoSpaceDE w:val="0"/>
        <w:autoSpaceDN w:val="0"/>
        <w:adjustRightInd w:val="0"/>
        <w:ind w:right="-141"/>
        <w:jc w:val="both"/>
        <w:rPr>
          <w:rFonts w:asciiTheme="minorHAnsi" w:eastAsiaTheme="minorHAnsi" w:hAnsiTheme="minorHAnsi" w:cs="Myriad-Roman"/>
          <w:b/>
          <w:color w:val="000000" w:themeColor="text1"/>
          <w:sz w:val="22"/>
          <w:szCs w:val="22"/>
          <w:lang w:eastAsia="en-US"/>
        </w:rPr>
      </w:pPr>
      <w:r w:rsidRPr="00D00C22">
        <w:rPr>
          <w:rFonts w:asciiTheme="minorHAnsi" w:eastAsiaTheme="minorHAnsi" w:hAnsiTheme="minorHAnsi" w:cs="Myriad-Roman"/>
          <w:b/>
          <w:color w:val="000000" w:themeColor="text1"/>
          <w:sz w:val="22"/>
          <w:szCs w:val="22"/>
          <w:lang w:eastAsia="en-US"/>
        </w:rPr>
        <w:t>Keine Preiserhöhungen bei der EVA</w:t>
      </w:r>
    </w:p>
    <w:p w:rsidR="00D00C22" w:rsidRDefault="00D00C22" w:rsidP="00102B47">
      <w:pPr>
        <w:autoSpaceDE w:val="0"/>
        <w:autoSpaceDN w:val="0"/>
        <w:adjustRightInd w:val="0"/>
        <w:ind w:right="-141"/>
        <w:jc w:val="both"/>
        <w:rPr>
          <w:rFonts w:asciiTheme="minorHAnsi" w:eastAsiaTheme="minorHAnsi" w:hAnsiTheme="minorHAnsi" w:cs="Myriad-Roman"/>
          <w:color w:val="000000" w:themeColor="text1"/>
          <w:sz w:val="22"/>
          <w:szCs w:val="22"/>
          <w:lang w:eastAsia="en-US"/>
        </w:rPr>
      </w:pPr>
    </w:p>
    <w:p w:rsidR="00102B47" w:rsidRPr="002C637F" w:rsidRDefault="00354CFE" w:rsidP="00102B47">
      <w:pPr>
        <w:autoSpaceDE w:val="0"/>
        <w:autoSpaceDN w:val="0"/>
        <w:adjustRightInd w:val="0"/>
        <w:ind w:right="-141"/>
        <w:jc w:val="both"/>
        <w:rPr>
          <w:rFonts w:asciiTheme="minorHAnsi" w:hAnsiTheme="minorHAnsi" w:cs="Arial"/>
          <w:color w:val="000000" w:themeColor="text1"/>
          <w:sz w:val="22"/>
          <w:szCs w:val="22"/>
        </w:rPr>
      </w:pPr>
      <w:r>
        <w:rPr>
          <w:rFonts w:asciiTheme="minorHAnsi" w:eastAsiaTheme="minorHAnsi" w:hAnsiTheme="minorHAnsi" w:cs="Myriad-Roman"/>
          <w:color w:val="000000" w:themeColor="text1"/>
          <w:sz w:val="22"/>
          <w:szCs w:val="22"/>
          <w:lang w:eastAsia="en-US"/>
        </w:rPr>
        <w:t>Gute Nachricht für die Kunden der EVA: Bei</w:t>
      </w:r>
      <w:r w:rsidR="002D6868">
        <w:rPr>
          <w:rFonts w:asciiTheme="minorHAnsi" w:eastAsiaTheme="minorHAnsi" w:hAnsiTheme="minorHAnsi" w:cs="Myriad-Roman"/>
          <w:color w:val="000000" w:themeColor="text1"/>
          <w:sz w:val="22"/>
          <w:szCs w:val="22"/>
          <w:lang w:eastAsia="en-US"/>
        </w:rPr>
        <w:t xml:space="preserve"> diesem</w:t>
      </w:r>
      <w:r>
        <w:rPr>
          <w:rFonts w:asciiTheme="minorHAnsi" w:eastAsiaTheme="minorHAnsi" w:hAnsiTheme="minorHAnsi" w:cs="Myriad-Roman"/>
          <w:color w:val="000000" w:themeColor="text1"/>
          <w:sz w:val="22"/>
          <w:szCs w:val="22"/>
          <w:lang w:eastAsia="en-US"/>
        </w:rPr>
        <w:t xml:space="preserve"> </w:t>
      </w:r>
      <w:r w:rsidR="00102B47" w:rsidRPr="002C637F">
        <w:rPr>
          <w:rFonts w:asciiTheme="minorHAnsi" w:eastAsiaTheme="minorHAnsi" w:hAnsiTheme="minorHAnsi" w:cs="Myriad-Roman"/>
          <w:color w:val="000000" w:themeColor="text1"/>
          <w:sz w:val="22"/>
          <w:szCs w:val="22"/>
          <w:lang w:eastAsia="en-US"/>
        </w:rPr>
        <w:t xml:space="preserve">dritten Preisblock </w:t>
      </w:r>
      <w:r>
        <w:rPr>
          <w:rFonts w:asciiTheme="minorHAnsi" w:eastAsiaTheme="minorHAnsi" w:hAnsiTheme="minorHAnsi" w:cs="Myriad-Roman"/>
          <w:color w:val="000000" w:themeColor="text1"/>
          <w:sz w:val="22"/>
          <w:szCs w:val="22"/>
          <w:lang w:eastAsia="en-US"/>
        </w:rPr>
        <w:t>konnte der Versorger Einsparungen erzielen</w:t>
      </w:r>
      <w:r w:rsidR="00102B47" w:rsidRPr="002C637F">
        <w:rPr>
          <w:rFonts w:asciiTheme="minorHAnsi" w:eastAsiaTheme="minorHAnsi" w:hAnsiTheme="minorHAnsi" w:cs="Myriad-Roman"/>
          <w:color w:val="000000" w:themeColor="text1"/>
          <w:sz w:val="22"/>
          <w:szCs w:val="22"/>
          <w:lang w:eastAsia="en-US"/>
        </w:rPr>
        <w:t xml:space="preserve">. „Diesen Preisvorteil geben wir </w:t>
      </w:r>
      <w:r w:rsidR="00A6665D">
        <w:rPr>
          <w:rFonts w:asciiTheme="minorHAnsi" w:eastAsiaTheme="minorHAnsi" w:hAnsiTheme="minorHAnsi" w:cs="Myriad-Roman"/>
          <w:color w:val="000000" w:themeColor="text1"/>
          <w:sz w:val="22"/>
          <w:szCs w:val="22"/>
          <w:lang w:eastAsia="en-US"/>
        </w:rPr>
        <w:t xml:space="preserve">natürlich </w:t>
      </w:r>
      <w:r w:rsidR="00102B47" w:rsidRPr="002C637F">
        <w:rPr>
          <w:rFonts w:asciiTheme="minorHAnsi" w:eastAsiaTheme="minorHAnsi" w:hAnsiTheme="minorHAnsi" w:cs="Myriad-Roman"/>
          <w:color w:val="000000" w:themeColor="text1"/>
          <w:sz w:val="22"/>
          <w:szCs w:val="22"/>
          <w:lang w:eastAsia="en-US"/>
        </w:rPr>
        <w:t xml:space="preserve">an unsere Kunden weiter“, so Freudenberger. „Daher ist die EVA als einer der wenigen Energieversorger in der Lage, ihre Strompreise auch 2017 konstant zu halten und die </w:t>
      </w:r>
      <w:r>
        <w:rPr>
          <w:rFonts w:asciiTheme="minorHAnsi" w:eastAsiaTheme="minorHAnsi" w:hAnsiTheme="minorHAnsi" w:cs="Myriad-Roman"/>
          <w:color w:val="000000" w:themeColor="text1"/>
          <w:sz w:val="22"/>
          <w:szCs w:val="22"/>
          <w:lang w:eastAsia="en-US"/>
        </w:rPr>
        <w:t xml:space="preserve">Erhöhung der </w:t>
      </w:r>
      <w:r w:rsidR="00102B47" w:rsidRPr="002C637F">
        <w:rPr>
          <w:rFonts w:asciiTheme="minorHAnsi" w:eastAsiaTheme="minorHAnsi" w:hAnsiTheme="minorHAnsi" w:cs="Myriad-Roman"/>
          <w:color w:val="000000" w:themeColor="text1"/>
          <w:sz w:val="22"/>
          <w:szCs w:val="22"/>
          <w:lang w:eastAsia="en-US"/>
        </w:rPr>
        <w:t>Steuern und Umlagen abzufangen. Wir werden alles daran setzen, unseren Einkauf weiter zu optimieren und alle Einsparmögl</w:t>
      </w:r>
      <w:bookmarkStart w:id="0" w:name="_GoBack"/>
      <w:bookmarkEnd w:id="0"/>
      <w:r w:rsidR="00102B47" w:rsidRPr="002C637F">
        <w:rPr>
          <w:rFonts w:asciiTheme="minorHAnsi" w:eastAsiaTheme="minorHAnsi" w:hAnsiTheme="minorHAnsi" w:cs="Myriad-Roman"/>
          <w:color w:val="000000" w:themeColor="text1"/>
          <w:sz w:val="22"/>
          <w:szCs w:val="22"/>
          <w:lang w:eastAsia="en-US"/>
        </w:rPr>
        <w:t>ichkeiten auszuschöpfen, um auch in Zukunft faire Preise zu gewährleisten“, versichert Freudenberger.</w:t>
      </w:r>
    </w:p>
    <w:p w:rsidR="00E04EFA" w:rsidRPr="002C637F" w:rsidRDefault="00E04EFA" w:rsidP="00102B47">
      <w:pPr>
        <w:ind w:right="-141"/>
        <w:jc w:val="both"/>
        <w:rPr>
          <w:rFonts w:asciiTheme="minorHAnsi" w:hAnsiTheme="minorHAnsi"/>
          <w:color w:val="000000" w:themeColor="text1"/>
          <w:sz w:val="22"/>
          <w:szCs w:val="22"/>
        </w:rPr>
      </w:pPr>
    </w:p>
    <w:p w:rsidR="002C637F" w:rsidRPr="002C637F" w:rsidRDefault="00886CC3">
      <w:pPr>
        <w:ind w:right="-141"/>
        <w:jc w:val="both"/>
        <w:rPr>
          <w:rFonts w:asciiTheme="minorHAnsi" w:hAnsiTheme="minorHAnsi"/>
          <w:color w:val="000000" w:themeColor="text1"/>
          <w:sz w:val="22"/>
          <w:szCs w:val="22"/>
        </w:rPr>
      </w:pPr>
      <w:r>
        <w:rPr>
          <w:rFonts w:asciiTheme="minorHAnsi" w:hAnsiTheme="minorHAnsi"/>
          <w:noProof/>
          <w:color w:val="000000" w:themeColor="text1"/>
          <w:sz w:val="22"/>
          <w:szCs w:val="22"/>
        </w:rPr>
        <w:drawing>
          <wp:inline distT="0" distB="0" distL="0" distR="0">
            <wp:extent cx="5038725" cy="3495297"/>
            <wp:effectExtent l="0" t="0" r="0" b="0"/>
            <wp:docPr id="1" name="Grafik 1" descr="C:\Users\d18706\AppData\Local\Microsoft\Windows\Temporary Internet Files\Content.Outlook\2RRAMQRC\screensho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18706\AppData\Local\Microsoft\Windows\Temporary Internet Files\Content.Outlook\2RRAMQRC\screenshot.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3263" cy="3491508"/>
                    </a:xfrm>
                    <a:prstGeom prst="rect">
                      <a:avLst/>
                    </a:prstGeom>
                    <a:noFill/>
                    <a:ln>
                      <a:noFill/>
                    </a:ln>
                  </pic:spPr>
                </pic:pic>
              </a:graphicData>
            </a:graphic>
          </wp:inline>
        </w:drawing>
      </w:r>
    </w:p>
    <w:sectPr w:rsidR="002C637F" w:rsidRPr="002C637F" w:rsidSect="00102B47">
      <w:headerReference w:type="even" r:id="rId8"/>
      <w:headerReference w:type="default" r:id="rId9"/>
      <w:footerReference w:type="even" r:id="rId10"/>
      <w:footerReference w:type="default" r:id="rId11"/>
      <w:headerReference w:type="first" r:id="rId12"/>
      <w:footerReference w:type="first" r:id="rId13"/>
      <w:pgSz w:w="11906" w:h="16838"/>
      <w:pgMar w:top="1417" w:right="496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68" w:rsidRDefault="002D6868" w:rsidP="002D6868">
      <w:r>
        <w:separator/>
      </w:r>
    </w:p>
  </w:endnote>
  <w:endnote w:type="continuationSeparator" w:id="0">
    <w:p w:rsidR="002D6868" w:rsidRDefault="002D6868"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Roman">
    <w:panose1 w:val="00000000000000000000"/>
    <w:charset w:val="00"/>
    <w:family w:val="swiss"/>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68" w:rsidRDefault="002D6868" w:rsidP="002D6868">
      <w:r>
        <w:separator/>
      </w:r>
    </w:p>
  </w:footnote>
  <w:footnote w:type="continuationSeparator" w:id="0">
    <w:p w:rsidR="002D6868" w:rsidRDefault="002D6868" w:rsidP="002D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68" w:rsidRDefault="002D6868">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5cyspan">
    <w15:presenceInfo w15:providerId="None" w15:userId="s5cys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47"/>
    <w:rsid w:val="000070A3"/>
    <w:rsid w:val="00010562"/>
    <w:rsid w:val="00011690"/>
    <w:rsid w:val="00020186"/>
    <w:rsid w:val="00032AAF"/>
    <w:rsid w:val="000460D6"/>
    <w:rsid w:val="000514B2"/>
    <w:rsid w:val="000564AE"/>
    <w:rsid w:val="000570A9"/>
    <w:rsid w:val="0008673E"/>
    <w:rsid w:val="00091439"/>
    <w:rsid w:val="00092367"/>
    <w:rsid w:val="000A5DC4"/>
    <w:rsid w:val="000A667C"/>
    <w:rsid w:val="000A755F"/>
    <w:rsid w:val="000A7C7B"/>
    <w:rsid w:val="000B0D3F"/>
    <w:rsid w:val="000B41E5"/>
    <w:rsid w:val="000B605D"/>
    <w:rsid w:val="000C0B08"/>
    <w:rsid w:val="000C2E9D"/>
    <w:rsid w:val="000D2B8D"/>
    <w:rsid w:val="000D77AB"/>
    <w:rsid w:val="000E4723"/>
    <w:rsid w:val="000E7C51"/>
    <w:rsid w:val="000F0D95"/>
    <w:rsid w:val="0010099C"/>
    <w:rsid w:val="00102B47"/>
    <w:rsid w:val="0011779E"/>
    <w:rsid w:val="00127188"/>
    <w:rsid w:val="001274FB"/>
    <w:rsid w:val="001330D7"/>
    <w:rsid w:val="00137A4A"/>
    <w:rsid w:val="001409BC"/>
    <w:rsid w:val="00141637"/>
    <w:rsid w:val="0014263D"/>
    <w:rsid w:val="00155209"/>
    <w:rsid w:val="00157AC0"/>
    <w:rsid w:val="001655B8"/>
    <w:rsid w:val="001910F8"/>
    <w:rsid w:val="00192593"/>
    <w:rsid w:val="00193CA0"/>
    <w:rsid w:val="00196BB2"/>
    <w:rsid w:val="001B2EFA"/>
    <w:rsid w:val="001C5F1F"/>
    <w:rsid w:val="001C62BF"/>
    <w:rsid w:val="001C6BB5"/>
    <w:rsid w:val="001D76BA"/>
    <w:rsid w:val="001E49BA"/>
    <w:rsid w:val="001E6E77"/>
    <w:rsid w:val="00201CAE"/>
    <w:rsid w:val="002026B7"/>
    <w:rsid w:val="002050B5"/>
    <w:rsid w:val="00210653"/>
    <w:rsid w:val="002151DE"/>
    <w:rsid w:val="002257AA"/>
    <w:rsid w:val="00242243"/>
    <w:rsid w:val="00245456"/>
    <w:rsid w:val="00261EF7"/>
    <w:rsid w:val="00271996"/>
    <w:rsid w:val="00272AB6"/>
    <w:rsid w:val="00275876"/>
    <w:rsid w:val="00281219"/>
    <w:rsid w:val="0029128C"/>
    <w:rsid w:val="00292E09"/>
    <w:rsid w:val="0029578D"/>
    <w:rsid w:val="002A7352"/>
    <w:rsid w:val="002B12E9"/>
    <w:rsid w:val="002C418B"/>
    <w:rsid w:val="002C5581"/>
    <w:rsid w:val="002C592E"/>
    <w:rsid w:val="002C637F"/>
    <w:rsid w:val="002D3D45"/>
    <w:rsid w:val="002D55E4"/>
    <w:rsid w:val="002D6868"/>
    <w:rsid w:val="002E1579"/>
    <w:rsid w:val="002E729D"/>
    <w:rsid w:val="002F1A31"/>
    <w:rsid w:val="002F2BC0"/>
    <w:rsid w:val="00305C5E"/>
    <w:rsid w:val="00323167"/>
    <w:rsid w:val="0032399F"/>
    <w:rsid w:val="00331769"/>
    <w:rsid w:val="00345584"/>
    <w:rsid w:val="00345F54"/>
    <w:rsid w:val="0034793A"/>
    <w:rsid w:val="00354CFE"/>
    <w:rsid w:val="00357558"/>
    <w:rsid w:val="003631A4"/>
    <w:rsid w:val="0037265F"/>
    <w:rsid w:val="00396904"/>
    <w:rsid w:val="003C777E"/>
    <w:rsid w:val="003D174F"/>
    <w:rsid w:val="003D7234"/>
    <w:rsid w:val="003E6B80"/>
    <w:rsid w:val="003F6343"/>
    <w:rsid w:val="00402851"/>
    <w:rsid w:val="0040402D"/>
    <w:rsid w:val="004041B7"/>
    <w:rsid w:val="0040514E"/>
    <w:rsid w:val="0042056E"/>
    <w:rsid w:val="0042091E"/>
    <w:rsid w:val="004251F3"/>
    <w:rsid w:val="004374F0"/>
    <w:rsid w:val="004541CA"/>
    <w:rsid w:val="00457B79"/>
    <w:rsid w:val="00460EDA"/>
    <w:rsid w:val="00466EAD"/>
    <w:rsid w:val="004742A5"/>
    <w:rsid w:val="00486FEB"/>
    <w:rsid w:val="00493086"/>
    <w:rsid w:val="0049308C"/>
    <w:rsid w:val="00493E57"/>
    <w:rsid w:val="004A06D7"/>
    <w:rsid w:val="004A0F2A"/>
    <w:rsid w:val="004A6058"/>
    <w:rsid w:val="004B2805"/>
    <w:rsid w:val="004B2AA9"/>
    <w:rsid w:val="004B2F7C"/>
    <w:rsid w:val="004B3048"/>
    <w:rsid w:val="004B4FF8"/>
    <w:rsid w:val="004C0741"/>
    <w:rsid w:val="004C36E9"/>
    <w:rsid w:val="004C4829"/>
    <w:rsid w:val="004C55CB"/>
    <w:rsid w:val="004C6772"/>
    <w:rsid w:val="004D05B8"/>
    <w:rsid w:val="004D1781"/>
    <w:rsid w:val="004E0321"/>
    <w:rsid w:val="004E22D8"/>
    <w:rsid w:val="004E378D"/>
    <w:rsid w:val="004F2496"/>
    <w:rsid w:val="004F6072"/>
    <w:rsid w:val="00500A96"/>
    <w:rsid w:val="005032A8"/>
    <w:rsid w:val="00506D99"/>
    <w:rsid w:val="00513F3D"/>
    <w:rsid w:val="005176FB"/>
    <w:rsid w:val="00536335"/>
    <w:rsid w:val="00540FBC"/>
    <w:rsid w:val="00544081"/>
    <w:rsid w:val="00546598"/>
    <w:rsid w:val="00557126"/>
    <w:rsid w:val="0055778B"/>
    <w:rsid w:val="00565DC0"/>
    <w:rsid w:val="00580BDD"/>
    <w:rsid w:val="00581D96"/>
    <w:rsid w:val="005826FB"/>
    <w:rsid w:val="00586C5D"/>
    <w:rsid w:val="005944F2"/>
    <w:rsid w:val="00597D07"/>
    <w:rsid w:val="005A12C1"/>
    <w:rsid w:val="005B037C"/>
    <w:rsid w:val="005B38DC"/>
    <w:rsid w:val="005B3CE0"/>
    <w:rsid w:val="005B7661"/>
    <w:rsid w:val="005C0194"/>
    <w:rsid w:val="005C0D4B"/>
    <w:rsid w:val="005C27F5"/>
    <w:rsid w:val="005E103A"/>
    <w:rsid w:val="005F2F53"/>
    <w:rsid w:val="005F414F"/>
    <w:rsid w:val="00601E40"/>
    <w:rsid w:val="00604C74"/>
    <w:rsid w:val="0061284E"/>
    <w:rsid w:val="006216AB"/>
    <w:rsid w:val="00623455"/>
    <w:rsid w:val="00641AAB"/>
    <w:rsid w:val="0065136A"/>
    <w:rsid w:val="006659E3"/>
    <w:rsid w:val="0068678D"/>
    <w:rsid w:val="00692FDC"/>
    <w:rsid w:val="006A02EF"/>
    <w:rsid w:val="006A0FD5"/>
    <w:rsid w:val="006A27A8"/>
    <w:rsid w:val="006A72E3"/>
    <w:rsid w:val="006B2CA2"/>
    <w:rsid w:val="006B3C8B"/>
    <w:rsid w:val="006B5D67"/>
    <w:rsid w:val="006B7605"/>
    <w:rsid w:val="006C2862"/>
    <w:rsid w:val="006C738E"/>
    <w:rsid w:val="006D54C1"/>
    <w:rsid w:val="006D6BFF"/>
    <w:rsid w:val="006E1014"/>
    <w:rsid w:val="006E52FF"/>
    <w:rsid w:val="006F56A8"/>
    <w:rsid w:val="006F58CD"/>
    <w:rsid w:val="00701381"/>
    <w:rsid w:val="00703DAE"/>
    <w:rsid w:val="00704C44"/>
    <w:rsid w:val="00711C3E"/>
    <w:rsid w:val="0071706E"/>
    <w:rsid w:val="00732BF7"/>
    <w:rsid w:val="00737C15"/>
    <w:rsid w:val="00755B7E"/>
    <w:rsid w:val="007633B6"/>
    <w:rsid w:val="0078686E"/>
    <w:rsid w:val="007B0784"/>
    <w:rsid w:val="007B43AE"/>
    <w:rsid w:val="007C004D"/>
    <w:rsid w:val="007C47F9"/>
    <w:rsid w:val="007D0F8E"/>
    <w:rsid w:val="007E1CF0"/>
    <w:rsid w:val="007E28B0"/>
    <w:rsid w:val="007E6A01"/>
    <w:rsid w:val="007E7577"/>
    <w:rsid w:val="007F2068"/>
    <w:rsid w:val="007F4103"/>
    <w:rsid w:val="007F74DE"/>
    <w:rsid w:val="008034E6"/>
    <w:rsid w:val="00806679"/>
    <w:rsid w:val="0081032E"/>
    <w:rsid w:val="0081238C"/>
    <w:rsid w:val="0081364F"/>
    <w:rsid w:val="008157D8"/>
    <w:rsid w:val="00816115"/>
    <w:rsid w:val="00816DF8"/>
    <w:rsid w:val="00823E65"/>
    <w:rsid w:val="00824CF1"/>
    <w:rsid w:val="00824EA4"/>
    <w:rsid w:val="00825BFC"/>
    <w:rsid w:val="00825E2F"/>
    <w:rsid w:val="00836348"/>
    <w:rsid w:val="00837B44"/>
    <w:rsid w:val="00840A9D"/>
    <w:rsid w:val="0084376B"/>
    <w:rsid w:val="00846500"/>
    <w:rsid w:val="00850424"/>
    <w:rsid w:val="00852ED2"/>
    <w:rsid w:val="008657D5"/>
    <w:rsid w:val="00867AE7"/>
    <w:rsid w:val="00867F74"/>
    <w:rsid w:val="00886CC3"/>
    <w:rsid w:val="008914FF"/>
    <w:rsid w:val="00894A1C"/>
    <w:rsid w:val="00897C4F"/>
    <w:rsid w:val="008C024E"/>
    <w:rsid w:val="008C1071"/>
    <w:rsid w:val="008C5047"/>
    <w:rsid w:val="008C6A96"/>
    <w:rsid w:val="008D00B7"/>
    <w:rsid w:val="008D4EB8"/>
    <w:rsid w:val="008D6407"/>
    <w:rsid w:val="008E6813"/>
    <w:rsid w:val="008E74DB"/>
    <w:rsid w:val="008F1B93"/>
    <w:rsid w:val="008F38E3"/>
    <w:rsid w:val="008F776B"/>
    <w:rsid w:val="009215E4"/>
    <w:rsid w:val="00921602"/>
    <w:rsid w:val="00935867"/>
    <w:rsid w:val="009426F0"/>
    <w:rsid w:val="009517E3"/>
    <w:rsid w:val="00953F1E"/>
    <w:rsid w:val="009546DE"/>
    <w:rsid w:val="009773E1"/>
    <w:rsid w:val="009812FE"/>
    <w:rsid w:val="0098400F"/>
    <w:rsid w:val="00996868"/>
    <w:rsid w:val="009A379A"/>
    <w:rsid w:val="009B1F6D"/>
    <w:rsid w:val="009B3E4E"/>
    <w:rsid w:val="009C5367"/>
    <w:rsid w:val="009D4898"/>
    <w:rsid w:val="009F09AD"/>
    <w:rsid w:val="009F2EE4"/>
    <w:rsid w:val="009F61E6"/>
    <w:rsid w:val="00A014AA"/>
    <w:rsid w:val="00A020B5"/>
    <w:rsid w:val="00A04B23"/>
    <w:rsid w:val="00A10090"/>
    <w:rsid w:val="00A115C4"/>
    <w:rsid w:val="00A1612C"/>
    <w:rsid w:val="00A223B7"/>
    <w:rsid w:val="00A24DB4"/>
    <w:rsid w:val="00A26059"/>
    <w:rsid w:val="00A26A31"/>
    <w:rsid w:val="00A3726A"/>
    <w:rsid w:val="00A41BC7"/>
    <w:rsid w:val="00A45AD0"/>
    <w:rsid w:val="00A62C99"/>
    <w:rsid w:val="00A6665D"/>
    <w:rsid w:val="00A73C31"/>
    <w:rsid w:val="00AA510B"/>
    <w:rsid w:val="00AB362B"/>
    <w:rsid w:val="00AB7DE3"/>
    <w:rsid w:val="00AC1A4F"/>
    <w:rsid w:val="00AC2483"/>
    <w:rsid w:val="00AC3596"/>
    <w:rsid w:val="00AC3F05"/>
    <w:rsid w:val="00AC7DB8"/>
    <w:rsid w:val="00AD0DE5"/>
    <w:rsid w:val="00AD2AB6"/>
    <w:rsid w:val="00AD6B27"/>
    <w:rsid w:val="00AE0821"/>
    <w:rsid w:val="00AE2A58"/>
    <w:rsid w:val="00AE2D16"/>
    <w:rsid w:val="00AE47F6"/>
    <w:rsid w:val="00AF5056"/>
    <w:rsid w:val="00AF7DD9"/>
    <w:rsid w:val="00B00AF1"/>
    <w:rsid w:val="00B24C90"/>
    <w:rsid w:val="00B308D4"/>
    <w:rsid w:val="00B314B9"/>
    <w:rsid w:val="00B36F23"/>
    <w:rsid w:val="00B43774"/>
    <w:rsid w:val="00B478CD"/>
    <w:rsid w:val="00B525FE"/>
    <w:rsid w:val="00B5590C"/>
    <w:rsid w:val="00B733AA"/>
    <w:rsid w:val="00B74321"/>
    <w:rsid w:val="00B832C4"/>
    <w:rsid w:val="00B849C8"/>
    <w:rsid w:val="00B84A8C"/>
    <w:rsid w:val="00B9110A"/>
    <w:rsid w:val="00B91A4E"/>
    <w:rsid w:val="00B957A8"/>
    <w:rsid w:val="00BA2437"/>
    <w:rsid w:val="00BB01B5"/>
    <w:rsid w:val="00BB170F"/>
    <w:rsid w:val="00BB56DD"/>
    <w:rsid w:val="00BC4FEB"/>
    <w:rsid w:val="00BC5580"/>
    <w:rsid w:val="00BC7FAB"/>
    <w:rsid w:val="00BD066C"/>
    <w:rsid w:val="00BF46EA"/>
    <w:rsid w:val="00C00898"/>
    <w:rsid w:val="00C05A75"/>
    <w:rsid w:val="00C07F69"/>
    <w:rsid w:val="00C25BC8"/>
    <w:rsid w:val="00C4019F"/>
    <w:rsid w:val="00C4233D"/>
    <w:rsid w:val="00C42E53"/>
    <w:rsid w:val="00C43F26"/>
    <w:rsid w:val="00C45895"/>
    <w:rsid w:val="00C519D3"/>
    <w:rsid w:val="00C56B7A"/>
    <w:rsid w:val="00C610B3"/>
    <w:rsid w:val="00C6544F"/>
    <w:rsid w:val="00C7644C"/>
    <w:rsid w:val="00C76540"/>
    <w:rsid w:val="00C835EF"/>
    <w:rsid w:val="00C838B4"/>
    <w:rsid w:val="00C84FAE"/>
    <w:rsid w:val="00C92EC6"/>
    <w:rsid w:val="00CA10B3"/>
    <w:rsid w:val="00CA2D4E"/>
    <w:rsid w:val="00CA3BD6"/>
    <w:rsid w:val="00CA7950"/>
    <w:rsid w:val="00CC0CD4"/>
    <w:rsid w:val="00CC7E89"/>
    <w:rsid w:val="00CD1D97"/>
    <w:rsid w:val="00CD7388"/>
    <w:rsid w:val="00CE0A37"/>
    <w:rsid w:val="00CE5342"/>
    <w:rsid w:val="00CF0607"/>
    <w:rsid w:val="00CF4F77"/>
    <w:rsid w:val="00D00C22"/>
    <w:rsid w:val="00D0582D"/>
    <w:rsid w:val="00D13A61"/>
    <w:rsid w:val="00D16540"/>
    <w:rsid w:val="00D21F48"/>
    <w:rsid w:val="00D2729D"/>
    <w:rsid w:val="00D2771B"/>
    <w:rsid w:val="00D41010"/>
    <w:rsid w:val="00D41083"/>
    <w:rsid w:val="00D44110"/>
    <w:rsid w:val="00D5648A"/>
    <w:rsid w:val="00D61EEF"/>
    <w:rsid w:val="00DA1705"/>
    <w:rsid w:val="00DA7C78"/>
    <w:rsid w:val="00DB4025"/>
    <w:rsid w:val="00DB6C1D"/>
    <w:rsid w:val="00DC19CC"/>
    <w:rsid w:val="00DC7724"/>
    <w:rsid w:val="00DE5266"/>
    <w:rsid w:val="00DE6B17"/>
    <w:rsid w:val="00DF6388"/>
    <w:rsid w:val="00E02469"/>
    <w:rsid w:val="00E04EFA"/>
    <w:rsid w:val="00E11C4F"/>
    <w:rsid w:val="00E12C43"/>
    <w:rsid w:val="00E139BB"/>
    <w:rsid w:val="00E14BCC"/>
    <w:rsid w:val="00E15438"/>
    <w:rsid w:val="00E31412"/>
    <w:rsid w:val="00E32938"/>
    <w:rsid w:val="00E3387F"/>
    <w:rsid w:val="00E36D61"/>
    <w:rsid w:val="00E405C9"/>
    <w:rsid w:val="00E4375A"/>
    <w:rsid w:val="00E43A79"/>
    <w:rsid w:val="00E50CD0"/>
    <w:rsid w:val="00E54EF2"/>
    <w:rsid w:val="00E552CA"/>
    <w:rsid w:val="00E556E2"/>
    <w:rsid w:val="00E55BA2"/>
    <w:rsid w:val="00E62DB9"/>
    <w:rsid w:val="00E63F4F"/>
    <w:rsid w:val="00E70363"/>
    <w:rsid w:val="00E95DC2"/>
    <w:rsid w:val="00E96D1D"/>
    <w:rsid w:val="00EA47EB"/>
    <w:rsid w:val="00EA4B16"/>
    <w:rsid w:val="00EC08D4"/>
    <w:rsid w:val="00EC5D2C"/>
    <w:rsid w:val="00ED14D6"/>
    <w:rsid w:val="00F002F8"/>
    <w:rsid w:val="00F022D4"/>
    <w:rsid w:val="00F10B0B"/>
    <w:rsid w:val="00F165A2"/>
    <w:rsid w:val="00F203C5"/>
    <w:rsid w:val="00F3320D"/>
    <w:rsid w:val="00F337CB"/>
    <w:rsid w:val="00F36209"/>
    <w:rsid w:val="00F375E3"/>
    <w:rsid w:val="00F449AF"/>
    <w:rsid w:val="00F463FF"/>
    <w:rsid w:val="00F54B5F"/>
    <w:rsid w:val="00F56C5C"/>
    <w:rsid w:val="00F70144"/>
    <w:rsid w:val="00F820FF"/>
    <w:rsid w:val="00F9079A"/>
    <w:rsid w:val="00F95047"/>
    <w:rsid w:val="00F96015"/>
    <w:rsid w:val="00FA39AA"/>
    <w:rsid w:val="00FA6472"/>
    <w:rsid w:val="00FB01AB"/>
    <w:rsid w:val="00FB324D"/>
    <w:rsid w:val="00FB7584"/>
    <w:rsid w:val="00FB786E"/>
    <w:rsid w:val="00FB7CE2"/>
    <w:rsid w:val="00FC342D"/>
    <w:rsid w:val="00FC3891"/>
    <w:rsid w:val="00FC6476"/>
    <w:rsid w:val="00FD291B"/>
    <w:rsid w:val="00FD4D1F"/>
    <w:rsid w:val="00FD643C"/>
    <w:rsid w:val="00FE552B"/>
    <w:rsid w:val="00FE6AA3"/>
    <w:rsid w:val="00FE72F4"/>
    <w:rsid w:val="00FF03E9"/>
    <w:rsid w:val="00FF0E97"/>
    <w:rsid w:val="00FF6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B4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14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B9"/>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2D6868"/>
    <w:pPr>
      <w:tabs>
        <w:tab w:val="center" w:pos="4536"/>
        <w:tab w:val="right" w:pos="9072"/>
      </w:tabs>
    </w:pPr>
  </w:style>
  <w:style w:type="character" w:customStyle="1" w:styleId="KopfzeileZchn">
    <w:name w:val="Kopfzeile Zchn"/>
    <w:basedOn w:val="Absatz-Standardschriftart"/>
    <w:link w:val="Kopfzeile"/>
    <w:uiPriority w:val="99"/>
    <w:semiHidden/>
    <w:rsid w:val="002D6868"/>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2D6868"/>
    <w:pPr>
      <w:tabs>
        <w:tab w:val="center" w:pos="4536"/>
        <w:tab w:val="right" w:pos="9072"/>
      </w:tabs>
    </w:pPr>
  </w:style>
  <w:style w:type="character" w:customStyle="1" w:styleId="FuzeileZchn">
    <w:name w:val="Fußzeile Zchn"/>
    <w:basedOn w:val="Absatz-Standardschriftart"/>
    <w:link w:val="Fuzeile"/>
    <w:uiPriority w:val="99"/>
    <w:semiHidden/>
    <w:rsid w:val="002D6868"/>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B4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14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B9"/>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2D6868"/>
    <w:pPr>
      <w:tabs>
        <w:tab w:val="center" w:pos="4536"/>
        <w:tab w:val="right" w:pos="9072"/>
      </w:tabs>
    </w:pPr>
  </w:style>
  <w:style w:type="character" w:customStyle="1" w:styleId="KopfzeileZchn">
    <w:name w:val="Kopfzeile Zchn"/>
    <w:basedOn w:val="Absatz-Standardschriftart"/>
    <w:link w:val="Kopfzeile"/>
    <w:uiPriority w:val="99"/>
    <w:semiHidden/>
    <w:rsid w:val="002D6868"/>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2D6868"/>
    <w:pPr>
      <w:tabs>
        <w:tab w:val="center" w:pos="4536"/>
        <w:tab w:val="right" w:pos="9072"/>
      </w:tabs>
    </w:pPr>
  </w:style>
  <w:style w:type="character" w:customStyle="1" w:styleId="FuzeileZchn">
    <w:name w:val="Fußzeile Zchn"/>
    <w:basedOn w:val="Absatz-Standardschriftart"/>
    <w:link w:val="Fuzeile"/>
    <w:uiPriority w:val="99"/>
    <w:semiHidden/>
    <w:rsid w:val="002D6868"/>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EON-IT</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Steinlein</dc:creator>
  <cp:lastModifiedBy>d18706</cp:lastModifiedBy>
  <cp:revision>2</cp:revision>
  <dcterms:created xsi:type="dcterms:W3CDTF">2017-01-24T08:18:00Z</dcterms:created>
  <dcterms:modified xsi:type="dcterms:W3CDTF">2017-01-24T08:18:00Z</dcterms:modified>
</cp:coreProperties>
</file>